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00"/>
      </w:pPr>
      <w:r>
        <w:rPr>
          <w:rFonts w:ascii="Arial" w:hAnsi="Arial"/>
          <w:b/>
          <w:color w:val="C58A16"/>
          <w:sz w:val="18"/>
        </w:rPr>
        <w:t>PROCESSO OPERACIONAL</w:t>
      </w:r>
    </w:p>
    <w:p>
      <w:pPr>
        <w:keepNext/>
        <w:spacing w:after="140"/>
      </w:pPr>
      <w:r>
        <w:rPr>
          <w:rFonts w:ascii="Arial" w:hAnsi="Arial"/>
          <w:b/>
          <w:color w:val="163A63"/>
          <w:sz w:val="44"/>
        </w:rPr>
        <w:t>Processo Operacional – Gestão da Abertura e Triagem de Chamados</w:t>
      </w:r>
    </w:p>
    <w:p>
      <w:pPr>
        <w:spacing w:after="300"/>
      </w:pPr>
      <w:r>
        <w:rPr>
          <w:rFonts w:ascii="Arial" w:hAnsi="Arial"/>
          <w:color w:val="5E6B78"/>
          <w:sz w:val="19"/>
        </w:rPr>
        <w:t>Área responsável e versão conforme documentação institucional</w:t>
      </w:r>
    </w:p>
    <w:p>
      <w:pPr>
        <w:pStyle w:val="Heading1"/>
      </w:pPr>
      <w:r>
        <w:t>Identificação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00"/>
        <w:gridCol w:w="6760"/>
      </w:tblGrid>
      <w:tr>
        <w:tc>
          <w:tcPr>
            <w:tcW w:type="dxa" w:w="26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Tipo</w:t>
            </w:r>
          </w:p>
        </w:tc>
        <w:tc>
          <w:tcPr>
            <w:tcW w:type="dxa" w:w="6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Processo Operacional</w:t>
            </w:r>
          </w:p>
        </w:tc>
      </w:tr>
      <w:tr>
        <w:tc>
          <w:tcPr>
            <w:tcW w:type="dxa" w:w="26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Título</w:t>
            </w:r>
          </w:p>
        </w:tc>
        <w:tc>
          <w:tcPr>
            <w:tcW w:type="dxa" w:w="6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Processo Operacional – Gestão da Abertura e Triagem de Chamados</w:t>
            </w:r>
          </w:p>
        </w:tc>
      </w:tr>
      <w:tr>
        <w:tc>
          <w:tcPr>
            <w:tcW w:type="dxa" w:w="26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Área responsável</w:t>
            </w:r>
          </w:p>
        </w:tc>
        <w:tc>
          <w:tcPr>
            <w:tcW w:type="dxa" w:w="6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Administrativo, Infraestrutura e Sistemas</w:t>
            </w:r>
          </w:p>
        </w:tc>
      </w:tr>
      <w:tr>
        <w:tc>
          <w:tcPr>
            <w:tcW w:type="dxa" w:w="26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Versão</w:t>
            </w:r>
          </w:p>
        </w:tc>
        <w:tc>
          <w:tcPr>
            <w:tcW w:type="dxa" w:w="6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2026</w:t>
            </w:r>
          </w:p>
        </w:tc>
      </w:tr>
    </w:tbl>
    <w:p>
      <w:pPr>
        <w:spacing w:after="40"/>
      </w:pPr>
    </w:p>
    <w:p>
      <w:pPr>
        <w:pStyle w:val="Heading1"/>
      </w:pPr>
      <w:r>
        <w:t>Objetivo</w:t>
      </w:r>
    </w:p>
    <w:p>
      <w:r>
        <w:t xml:space="preserve">Estabelecer diretrizes, padrões e responsabilidades para a abertura, registro, categorização, atendimento e escalonamento de chamados no sistema GLPI, garantindo </w:t>
      </w:r>
      <w:r>
        <w:rPr>
          <w:b/>
        </w:rPr>
        <w:t>padronização</w:t>
      </w:r>
      <w:r>
        <w:t xml:space="preserve">, </w:t>
      </w:r>
      <w:r>
        <w:rPr>
          <w:b/>
        </w:rPr>
        <w:t>transparência</w:t>
      </w:r>
      <w:r>
        <w:t xml:space="preserve">, </w:t>
      </w:r>
      <w:r>
        <w:rPr>
          <w:b/>
        </w:rPr>
        <w:t>rastreabilidade</w:t>
      </w:r>
      <w:r>
        <w:t xml:space="preserve"> e </w:t>
      </w:r>
      <w:r>
        <w:rPr>
          <w:b/>
        </w:rPr>
        <w:t>qualidade</w:t>
      </w:r>
      <w:r>
        <w:t xml:space="preserve"> na prestação dos serviços de Tecnologia da Informação.</w:t>
      </w:r>
    </w:p>
    <w:p>
      <w:pPr>
        <w:pStyle w:val="Heading2"/>
      </w:pPr>
      <w:r>
        <w:t>02 Apresentação</w:t>
      </w:r>
    </w:p>
    <w:p>
      <w:r>
        <w:t xml:space="preserve">Este Processo Operacional tem como finalidade orientar usuários e equipes da GTIC quanto à correta abertura, registro, categorização e tratamento de chamados no sistema </w:t>
      </w:r>
      <w:r>
        <w:rPr>
          <w:b/>
        </w:rPr>
        <w:t>GLPI</w:t>
      </w:r>
      <w:r>
        <w:t>, considerando as melhorias implementadas no fluxo de atendimento.</w:t>
      </w:r>
    </w:p>
    <w:p>
      <w:r>
        <w:t xml:space="preserve">O documento foi elaborado a partir de estudo técnico, análise operacional e amadurecimento do uso da ferramenta, estando alinhado às necessidades institucionais e às boas práticas de Governança de TI, especialmente aos referenciais da </w:t>
      </w:r>
      <w:r>
        <w:rPr>
          <w:b/>
        </w:rPr>
        <w:t>ITIL</w:t>
      </w:r>
      <w:r>
        <w:t>.</w:t>
      </w:r>
    </w:p>
    <w:p>
      <w:r>
        <w:t xml:space="preserve">A padronização aqui estabelecida visa assegurar </w:t>
      </w:r>
      <w:r>
        <w:rPr>
          <w:b/>
        </w:rPr>
        <w:t>transparência</w:t>
      </w:r>
      <w:r>
        <w:t xml:space="preserve">, </w:t>
      </w:r>
      <w:r>
        <w:rPr>
          <w:b/>
        </w:rPr>
        <w:t>rastreabilidade</w:t>
      </w:r>
      <w:r>
        <w:t xml:space="preserve">, </w:t>
      </w:r>
      <w:r>
        <w:rPr>
          <w:b/>
        </w:rPr>
        <w:t>qualidade das informações</w:t>
      </w:r>
      <w:r>
        <w:t xml:space="preserve"> e </w:t>
      </w:r>
      <w:r>
        <w:rPr>
          <w:b/>
        </w:rPr>
        <w:t>melhoria contínua</w:t>
      </w:r>
      <w:r>
        <w:t xml:space="preserve"> dos serviços prestados.</w:t>
      </w:r>
    </w:p>
    <w:p>
      <w:pPr>
        <w:pStyle w:val="Heading2"/>
      </w:pPr>
      <w:r>
        <w:t>04 Visão Geral do Processo de Atendimento no GLPI</w:t>
      </w:r>
    </w:p>
    <w:p>
      <w:r>
        <w:t xml:space="preserve">A partir da abertura de um chamado no GLPI, o usuário recebe notificação automática por e-mail no momento da </w:t>
      </w:r>
      <w:r>
        <w:rPr>
          <w:b/>
        </w:rPr>
        <w:t>abertura</w:t>
      </w:r>
      <w:r>
        <w:t xml:space="preserve"> e no momento do </w:t>
      </w:r>
      <w:r>
        <w:rPr>
          <w:b/>
        </w:rPr>
        <w:t>encerramento</w:t>
      </w:r>
      <w:r>
        <w:t>.</w:t>
      </w:r>
    </w:p>
    <w:p>
      <w:r>
        <w:t xml:space="preserve">Essas notificações visam ampliar a </w:t>
      </w:r>
      <w:r>
        <w:rPr>
          <w:b/>
        </w:rPr>
        <w:t>transparência do atendimento</w:t>
      </w:r>
      <w:r>
        <w:t xml:space="preserve"> e fortalecer a cultura de </w:t>
      </w:r>
      <w:r>
        <w:rPr>
          <w:b/>
        </w:rPr>
        <w:t>qualidade e melhoria contínua</w:t>
      </w:r>
      <w:r>
        <w:t>.</w:t>
      </w:r>
    </w:p>
    <w:p>
      <w:pPr>
        <w:pStyle w:val="Heading1"/>
      </w:pPr>
      <w:r>
        <w:t>Fluxo resumido</w:t>
      </w:r>
    </w:p>
    <w:p>
      <w:pPr>
        <w:spacing w:after="80"/>
      </w:pPr>
      <w:r>
        <w:t>1. Receber A Central de Serviços coleta os dados e identifica a necessidade apresentada.</w:t>
      </w:r>
    </w:p>
    <w:p>
      <w:pPr>
        <w:spacing w:after="80"/>
      </w:pPr>
      <w:r>
        <w:t>2. Abrir e categorizar Registra um chamado por demanda, usando a categoria e o template correspondentes.</w:t>
      </w:r>
    </w:p>
    <w:p>
      <w:pPr>
        <w:spacing w:after="80"/>
      </w:pPr>
      <w:r>
        <w:t>3. Triar e direcionar Resolve no primeiro nível ou escala para a equipe responsável conforme a complexidade.</w:t>
      </w:r>
    </w:p>
    <w:p>
      <w:pPr>
        <w:spacing w:after="80"/>
      </w:pPr>
      <w:r>
        <w:t>4. Solucionar e encerrar Registra a solução, comunica o usuário e preserva o histórico para gestão e melhoria.</w:t>
      </w:r>
    </w:p>
    <w:p>
      <w:pPr>
        <w:pStyle w:val="Heading1"/>
      </w:pPr>
      <w:r>
        <w:t>Processo 1 - Notificações Automáticas por E-mail</w:t>
      </w:r>
    </w:p>
    <w:p>
      <w:pPr>
        <w:pStyle w:val="Heading2"/>
      </w:pPr>
      <w:r>
        <w:t>5.1 Notificação de Abertura do Chamado</w:t>
      </w:r>
    </w:p>
    <w:p>
      <w:r>
        <w:t>Após o registro do chamado no GLPI, o usuário receberá automaticamente um e-mail de confirmação contendo:</w:t>
      </w:r>
    </w:p>
    <w:p>
      <w:pPr>
        <w:pStyle w:val="ListBullet"/>
        <w:spacing w:after="80"/>
      </w:pPr>
      <w:r>
        <w:t>🎫 Número do ticket</w:t>
      </w:r>
    </w:p>
    <w:p>
      <w:pPr>
        <w:pStyle w:val="ListBullet"/>
        <w:spacing w:after="80"/>
      </w:pPr>
      <w:r>
        <w:t>👤 Nome do usuário</w:t>
      </w:r>
    </w:p>
    <w:p>
      <w:pPr>
        <w:pStyle w:val="ListBullet"/>
        <w:spacing w:after="80"/>
      </w:pPr>
      <w:r>
        <w:t>📅 Data e hora de abertura do chamado</w:t>
      </w:r>
    </w:p>
    <w:p>
      <w:r>
        <w:t xml:space="preserve">O e-mail será enviado automaticamente através da integração entre </w:t>
      </w:r>
      <w:r>
        <w:rPr>
          <w:b/>
        </w:rPr>
        <w:t>GLPI</w:t>
      </w:r>
      <w:r>
        <w:t xml:space="preserve"> e </w:t>
      </w:r>
      <w:r>
        <w:rPr>
          <w:b/>
        </w:rPr>
        <w:t>n8n</w:t>
      </w:r>
      <w:r>
        <w:t xml:space="preserve">, com processamento periódico a cada </w:t>
      </w:r>
      <w:r>
        <w:rPr>
          <w:b/>
        </w:rPr>
        <w:t>5 minutos</w:t>
      </w:r>
      <w:r>
        <w:t>.</w:t>
      </w:r>
    </w:p>
    <w:p>
      <w:pPr>
        <w:spacing w:after="80"/>
      </w:pPr>
      <w:r>
        <w:rPr>
          <w:color w:val="163A63"/>
        </w:rPr>
        <w:t>📌 Importante: As informações enviadas ao usuário refletem exatamente os dados registrados no chamado. Portanto, os campos devem ser preenchidos corretamente, utilizando linguagem clara, objetiva e formal.</w:t>
      </w:r>
    </w:p>
    <w:p>
      <w:pPr>
        <w:pStyle w:val="Heading2"/>
      </w:pPr>
      <w:r>
        <w:t>5.2 Notificação de Encerramento do Chamado</w:t>
      </w:r>
    </w:p>
    <w:p>
      <w:r>
        <w:t xml:space="preserve">Após o encerramento do chamado com status </w:t>
      </w:r>
      <w:r>
        <w:rPr>
          <w:b/>
        </w:rPr>
        <w:t>Fechado</w:t>
      </w:r>
      <w:r>
        <w:t>, o usuário receberá automaticamente um e-mail contendo:</w:t>
      </w:r>
    </w:p>
    <w:p>
      <w:pPr>
        <w:pStyle w:val="ListBullet"/>
        <w:spacing w:after="80"/>
      </w:pPr>
      <w:r>
        <w:t>🎫 Número do ticket</w:t>
      </w:r>
    </w:p>
    <w:p>
      <w:pPr>
        <w:pStyle w:val="ListBullet"/>
        <w:spacing w:after="80"/>
      </w:pPr>
      <w:r>
        <w:t>👤 Nome do usuário</w:t>
      </w:r>
    </w:p>
    <w:p>
      <w:pPr>
        <w:pStyle w:val="ListBullet"/>
        <w:spacing w:after="80"/>
      </w:pPr>
      <w:r>
        <w:t>📅 Data de abertura</w:t>
      </w:r>
    </w:p>
    <w:p>
      <w:pPr>
        <w:pStyle w:val="ListBullet"/>
        <w:spacing w:after="80"/>
      </w:pPr>
      <w:r>
        <w:t>✅ Confirmação da finalização do chamado</w:t>
      </w:r>
    </w:p>
    <w:p>
      <w:pPr>
        <w:pStyle w:val="ListBullet"/>
        <w:spacing w:after="80"/>
      </w:pPr>
      <w:r>
        <w:t>⭐ Link da pesquisa de satisfação</w:t>
      </w:r>
    </w:p>
    <w:p>
      <w:r>
        <w:t xml:space="preserve">A pesquisa de satisfação tem como objetivo fortalecer a </w:t>
      </w:r>
      <w:r>
        <w:rPr>
          <w:b/>
        </w:rPr>
        <w:t>melhoria contínua</w:t>
      </w:r>
      <w:r>
        <w:t xml:space="preserve"> dos atendimentos prestados pela GTIC.</w:t>
      </w:r>
    </w:p>
    <w:p>
      <w:pPr>
        <w:spacing w:after="80"/>
      </w:pPr>
      <w:r>
        <w:rPr>
          <w:color w:val="163A63"/>
        </w:rPr>
        <w:t>⚠️ Atenção: Chamados apenas com status "Solucionado" não disparam a notificação automática de encerramento.</w:t>
      </w:r>
    </w:p>
    <w:p>
      <w:pPr>
        <w:pStyle w:val="Heading2"/>
      </w:pPr>
      <w:r>
        <w:t>5.3 Regras Obrigatórias para Funcionamento das Notificações</w:t>
      </w:r>
    </w:p>
    <w:p>
      <w:pPr>
        <w:pStyle w:val="ListBullet"/>
        <w:spacing w:after="80"/>
      </w:pPr>
      <w:r>
        <w:t>📧 O campo E-mail deverá obrigatoriamente ser preenchido no momento da abertura do chamado</w:t>
      </w:r>
    </w:p>
    <w:p>
      <w:pPr>
        <w:pStyle w:val="ListBullet"/>
        <w:spacing w:after="80"/>
      </w:pPr>
      <w:r>
        <w:t>🔗 Os scripts de Sistemas e Infraestrutura encontram-se padronizados e integrados ao n8n</w:t>
      </w:r>
    </w:p>
    <w:p>
      <w:pPr>
        <w:pStyle w:val="ListBullet"/>
        <w:spacing w:after="80"/>
      </w:pPr>
      <w:r>
        <w:t>🚫 Os campos padronizados não deverão ser alterados sem validação prévia da administração do GLPI</w:t>
      </w:r>
    </w:p>
    <w:p>
      <w:pPr>
        <w:pStyle w:val="ListBullet"/>
        <w:spacing w:after="80"/>
      </w:pPr>
      <w:r>
        <w:t>⚠️ Alterações indevidas poderão comprometer o funcionamento das notificações automáticas e integrações sistêmicas</w:t>
      </w:r>
    </w:p>
    <w:p>
      <w:pPr>
        <w:pStyle w:val="Heading1"/>
      </w:pPr>
      <w:r>
        <w:t>Processo 2 - Orientações e Passo a Passo para Atendimento</w:t>
      </w:r>
    </w:p>
    <w:p>
      <w:pPr>
        <w:pStyle w:val="Heading2"/>
      </w:pPr>
      <w:r>
        <w:t>6.1 Linguagem e Escrita</w:t>
      </w:r>
    </w:p>
    <w:p>
      <w:r>
        <w:t>Ao abrir um chamado, o usuário deve:</w:t>
      </w:r>
    </w:p>
    <w:p>
      <w:pPr>
        <w:pStyle w:val="ListBullet"/>
        <w:spacing w:after="80"/>
      </w:pPr>
      <w:r>
        <w:t>✅ Utilizar linguagem formal</w:t>
      </w:r>
    </w:p>
    <w:p>
      <w:pPr>
        <w:pStyle w:val="ListBullet"/>
        <w:spacing w:after="80"/>
      </w:pPr>
      <w:r>
        <w:t>✅ Redigir frases claras e objetivas</w:t>
      </w:r>
    </w:p>
    <w:p>
      <w:pPr>
        <w:pStyle w:val="ListBullet"/>
        <w:spacing w:after="80"/>
      </w:pPr>
      <w:r>
        <w:t>✅ Atentar para a concordância verbal e nominal</w:t>
      </w:r>
    </w:p>
    <w:p>
      <w:pPr>
        <w:pStyle w:val="ListBullet"/>
        <w:spacing w:after="80"/>
      </w:pPr>
      <w:r>
        <w:t>❌ Evitar abreviações informais</w:t>
      </w:r>
    </w:p>
    <w:p>
      <w:pPr>
        <w:pStyle w:val="ListBullet"/>
        <w:spacing w:after="80"/>
      </w:pPr>
      <w:r>
        <w:t>❌ Evitar termos genéricos como "não funciona" sem detalhamento</w:t>
      </w:r>
    </w:p>
    <w:p>
      <w:pPr>
        <w:pStyle w:val="ListBullet"/>
        <w:spacing w:after="80"/>
      </w:pPr>
      <w:r>
        <w:t>❌ Não inserir letras maiúsculas desnecessárias</w:t>
      </w:r>
    </w:p>
    <w:p>
      <w:pPr>
        <w:pStyle w:val="Heading2"/>
      </w:pPr>
      <w:r>
        <w:t>6.2 Exemplos de Descrições</w:t>
      </w:r>
    </w:p>
    <w:p>
      <w:pPr>
        <w:pStyle w:val="ListBullet"/>
        <w:spacing w:after="60"/>
        <w:ind w:left="461" w:hanging="259"/>
      </w:pPr>
      <w:r>
        <w:t>"O sistema não funciona."</w:t>
      </w:r>
    </w:p>
    <w:p>
      <w:pPr>
        <w:pStyle w:val="ListBullet"/>
        <w:spacing w:after="60"/>
        <w:ind w:left="461" w:hanging="259"/>
      </w:pPr>
      <w:r>
        <w:t>"Tá dando erro."</w:t>
      </w:r>
    </w:p>
    <w:p>
      <w:pPr>
        <w:pStyle w:val="ListBullet"/>
        <w:spacing w:after="60"/>
        <w:ind w:left="461" w:hanging="259"/>
      </w:pPr>
      <w:r>
        <w:t>"Não consigo entrar."</w:t>
      </w:r>
    </w:p>
    <w:p>
      <w:pPr>
        <w:pStyle w:val="ListBullet"/>
        <w:spacing w:after="60"/>
        <w:ind w:left="461" w:hanging="259"/>
      </w:pPr>
      <w:r>
        <w:t>"Problema no computador."</w:t>
      </w:r>
    </w:p>
    <w:p>
      <w:pPr>
        <w:pStyle w:val="ListBullet"/>
        <w:spacing w:after="60"/>
        <w:ind w:left="461" w:hanging="259"/>
      </w:pPr>
      <w:r>
        <w:t>"Aplicação fora do ar."</w:t>
      </w:r>
    </w:p>
    <w:p>
      <w:pPr>
        <w:spacing w:after="80"/>
      </w:pPr>
      <w:r>
        <w:rPr>
          <w:color w:val="163A63"/>
        </w:rPr>
        <w:t>📌 Por que não usar: Essas descrições são genéricas, não informam o sistema afetado, o tipo de erro, nem o contexto do problema, dificultando a análise e a resolução do chamado.</w:t>
      </w:r>
    </w:p>
    <w:p>
      <w:pPr>
        <w:pStyle w:val="ListBullet"/>
        <w:spacing w:after="60"/>
        <w:ind w:left="461" w:hanging="259"/>
      </w:pPr>
      <w:r>
        <w:t xml:space="preserve">"Ao tentar acessar o sistema </w:t>
      </w:r>
      <w:r>
        <w:rPr>
          <w:b/>
        </w:rPr>
        <w:t>X</w:t>
      </w:r>
      <w:r>
        <w:t xml:space="preserve">, o usuário recebe a mensagem de erro </w:t>
      </w:r>
      <w:r>
        <w:rPr>
          <w:i/>
        </w:rPr>
        <w:t>'acesso não autorizado'</w:t>
      </w:r>
      <w:r>
        <w:t xml:space="preserve"> desde às 9h do dia 12/02."</w:t>
      </w:r>
    </w:p>
    <w:p>
      <w:pPr>
        <w:pStyle w:val="ListBullet"/>
        <w:spacing w:after="60"/>
        <w:ind w:left="461" w:hanging="259"/>
      </w:pPr>
      <w:r>
        <w:t xml:space="preserve">"O sistema </w:t>
      </w:r>
      <w:r>
        <w:rPr>
          <w:b/>
        </w:rPr>
        <w:t>Y</w:t>
      </w:r>
      <w:r>
        <w:t xml:space="preserve"> apresenta lentidão ao realizar o cadastro de usuários, principalmente no período da manhã."</w:t>
      </w:r>
    </w:p>
    <w:p>
      <w:pPr>
        <w:pStyle w:val="ListBullet"/>
        <w:spacing w:after="60"/>
        <w:ind w:left="461" w:hanging="259"/>
      </w:pPr>
      <w:r>
        <w:t xml:space="preserve">"Após atualização realizada em 11/02, o módulo </w:t>
      </w:r>
      <w:r>
        <w:rPr>
          <w:b/>
        </w:rPr>
        <w:t>Z</w:t>
      </w:r>
      <w:r>
        <w:t xml:space="preserve"> não permite a finalização de atendimentos."</w:t>
      </w:r>
    </w:p>
    <w:p>
      <w:pPr>
        <w:pStyle w:val="ListBullet"/>
        <w:spacing w:after="60"/>
        <w:ind w:left="461" w:hanging="259"/>
      </w:pPr>
      <w:r>
        <w:t xml:space="preserve">"O computador da sala </w:t>
      </w:r>
      <w:r>
        <w:rPr>
          <w:b/>
        </w:rPr>
        <w:t>A</w:t>
      </w:r>
      <w:r>
        <w:t xml:space="preserve"> não conecta à rede interna desde o início do expediente."</w:t>
      </w:r>
    </w:p>
    <w:p>
      <w:pPr>
        <w:spacing w:after="80"/>
      </w:pPr>
      <w:r>
        <w:rPr>
          <w:color w:val="163A63"/>
        </w:rPr>
        <w:t>📌 Por que usar: Essas descrições são claras, objetivas, indicam o sistema afetado, o comportamento observado e o momento da ocorrência, permitindo um atendimento mais rápido e eficiente.</w:t>
      </w:r>
    </w:p>
    <w:p>
      <w:pPr>
        <w:pStyle w:val="Heading2"/>
      </w:pPr>
      <w:r>
        <w:t>6.3 Descrição do Chamado – Boas Práticas</w:t>
      </w:r>
    </w:p>
    <w:p>
      <w:r>
        <w:t>A descrição deve conter, sempre que possível:</w:t>
      </w:r>
    </w:p>
    <w:p>
      <w:pPr>
        <w:pStyle w:val="ListBullet"/>
        <w:spacing w:after="80"/>
      </w:pPr>
      <w:r>
        <w:t>🖥️ Sistema ou serviço afetado</w:t>
      </w:r>
    </w:p>
    <w:p>
      <w:pPr>
        <w:pStyle w:val="ListBullet"/>
        <w:spacing w:after="80"/>
      </w:pPr>
      <w:r>
        <w:t>📝 Descrição clara do problema ou solicitação</w:t>
      </w:r>
    </w:p>
    <w:p>
      <w:pPr>
        <w:pStyle w:val="ListBullet"/>
        <w:spacing w:after="80"/>
      </w:pPr>
      <w:r>
        <w:t>📅 Quando o problema ocorreu</w:t>
      </w:r>
    </w:p>
    <w:p>
      <w:pPr>
        <w:pStyle w:val="ListBullet"/>
        <w:spacing w:after="80"/>
      </w:pPr>
      <w:r>
        <w:t>🔁 Se o erro é recorrente ou pontual</w:t>
      </w:r>
    </w:p>
    <w:p>
      <w:pPr>
        <w:pStyle w:val="ListBullet"/>
        <w:spacing w:after="80"/>
      </w:pPr>
      <w:r>
        <w:t>📸 Prints de tela ou evidências (quando aplicável)</w:t>
      </w:r>
    </w:p>
    <w:p>
      <w:pPr>
        <w:pStyle w:val="Heading2"/>
      </w:pPr>
      <w:r>
        <w:t>6.4 Passo a Passo por Tipo de Solicitação</w:t>
      </w:r>
    </w:p>
    <w:p>
      <w:r>
        <w:t>Para cada chamado, a equipe deve identificar o tipo de solicitação e seguir um fluxo básico de tratamento. O objetivo é evitar registros incompletos, retrabalho e encaminhamentos desnecessários.</w:t>
      </w:r>
    </w:p>
    <w:p>
      <w:pPr>
        <w:pStyle w:val="Heading3"/>
      </w:pPr>
      <w:r>
        <w:t>Cadastro, liberação ou alteração de acesso</w:t>
      </w:r>
    </w:p>
    <w:p>
      <w:pPr>
        <w:pStyle w:val="ListBullet"/>
        <w:spacing w:after="60"/>
        <w:ind w:left="461" w:hanging="259"/>
      </w:pPr>
      <w:r>
        <w:t>Conferir nome completo, CPF ou matrícula, unidade, função e sistema solicitado.</w:t>
      </w:r>
    </w:p>
    <w:p>
      <w:pPr>
        <w:pStyle w:val="ListBullet"/>
        <w:spacing w:after="60"/>
        <w:ind w:left="461" w:hanging="259"/>
      </w:pPr>
      <w:r>
        <w:t>Validar se há autorização da chefia ou responsável pela unidade, quando aplicável.</w:t>
      </w:r>
    </w:p>
    <w:p>
      <w:pPr>
        <w:pStyle w:val="ListBullet"/>
        <w:spacing w:after="60"/>
        <w:ind w:left="461" w:hanging="259"/>
      </w:pPr>
      <w:r>
        <w:t>Executar o cadastro ou alteração quando o serviço estiver previsto para a Central de Serviços.</w:t>
      </w:r>
    </w:p>
    <w:p>
      <w:pPr>
        <w:pStyle w:val="ListBullet"/>
        <w:spacing w:after="60"/>
        <w:ind w:left="461" w:hanging="259"/>
      </w:pPr>
      <w:r>
        <w:t>Registrar no chamado quais usuários foram atendidos e qual acesso foi concedido.</w:t>
      </w:r>
    </w:p>
    <w:p>
      <w:pPr>
        <w:pStyle w:val="Heading3"/>
      </w:pPr>
      <w:r>
        <w:t>Erro de sistema</w:t>
      </w:r>
    </w:p>
    <w:p>
      <w:pPr>
        <w:pStyle w:val="ListBullet"/>
        <w:spacing w:after="60"/>
        <w:ind w:left="461" w:hanging="259"/>
      </w:pPr>
      <w:r>
        <w:t>Identificar sistema, módulo, tela, mensagem de erro e horário da ocorrência.</w:t>
      </w:r>
    </w:p>
    <w:p>
      <w:pPr>
        <w:pStyle w:val="ListBullet"/>
        <w:spacing w:after="60"/>
        <w:ind w:left="461" w:hanging="259"/>
      </w:pPr>
      <w:r>
        <w:t>Solicitar evidência, como print ou descrição do passo que gerou o erro.</w:t>
      </w:r>
    </w:p>
    <w:p>
      <w:pPr>
        <w:pStyle w:val="ListBullet"/>
        <w:spacing w:after="60"/>
        <w:ind w:left="461" w:hanging="259"/>
      </w:pPr>
      <w:r>
        <w:t>Verificar se é caso isolado ou se afeta outros usuários/unidades.</w:t>
      </w:r>
    </w:p>
    <w:p>
      <w:pPr>
        <w:pStyle w:val="ListBullet"/>
        <w:spacing w:after="60"/>
        <w:ind w:left="461" w:hanging="259"/>
      </w:pPr>
      <w:r>
        <w:t>Escalonar para N2/N3 quando exigir análise técnica, correção ou intervenção sistêmica.</w:t>
      </w:r>
    </w:p>
    <w:p>
      <w:pPr>
        <w:pStyle w:val="Heading3"/>
      </w:pPr>
      <w:r>
        <w:t>Equipamento, rede ou infraestrutura</w:t>
      </w:r>
    </w:p>
    <w:p>
      <w:pPr>
        <w:pStyle w:val="ListBullet"/>
        <w:spacing w:after="60"/>
        <w:ind w:left="461" w:hanging="259"/>
      </w:pPr>
      <w:r>
        <w:t>Identificar patrimônio, setor, unidade, ponto de rede e telefone de contato.</w:t>
      </w:r>
    </w:p>
    <w:p>
      <w:pPr>
        <w:pStyle w:val="ListBullet"/>
        <w:spacing w:after="60"/>
        <w:ind w:left="461" w:hanging="259"/>
      </w:pPr>
      <w:r>
        <w:t>Registrar sintomas objetivos: sem rede, sem impressão, lentidão, tela apagada, travamento.</w:t>
      </w:r>
    </w:p>
    <w:p>
      <w:pPr>
        <w:pStyle w:val="ListBullet"/>
        <w:spacing w:after="60"/>
        <w:ind w:left="461" w:hanging="259"/>
      </w:pPr>
      <w:r>
        <w:t>Orientar testes simples quando possível, como reiniciar equipamento ou verificar cabos.</w:t>
      </w:r>
    </w:p>
    <w:p>
      <w:pPr>
        <w:pStyle w:val="ListBullet"/>
        <w:spacing w:after="60"/>
        <w:ind w:left="461" w:hanging="259"/>
      </w:pPr>
      <w:r>
        <w:t>Encaminhar para a equipe responsável quando houver necessidade de visita ou manutenção.</w:t>
      </w:r>
    </w:p>
    <w:p>
      <w:pPr>
        <w:pStyle w:val="Heading3"/>
      </w:pPr>
      <w:r>
        <w:t>Dúvida, orientação ou solicitação administrativa</w:t>
      </w:r>
    </w:p>
    <w:p>
      <w:pPr>
        <w:pStyle w:val="ListBullet"/>
        <w:spacing w:after="60"/>
        <w:ind w:left="461" w:hanging="259"/>
      </w:pPr>
      <w:r>
        <w:t>Confirmar qual procedimento o usuário precisa executar.</w:t>
      </w:r>
    </w:p>
    <w:p>
      <w:pPr>
        <w:pStyle w:val="ListBullet"/>
        <w:spacing w:after="60"/>
        <w:ind w:left="461" w:hanging="259"/>
      </w:pPr>
      <w:r>
        <w:t>Orientar com base em POP, manual ou script oficial, sempre que houver documento publicado.</w:t>
      </w:r>
    </w:p>
    <w:p>
      <w:pPr>
        <w:pStyle w:val="ListBullet"/>
        <w:spacing w:after="60"/>
        <w:ind w:left="461" w:hanging="259"/>
      </w:pPr>
      <w:r>
        <w:t>Registrar a orientação prestada no histórico do chamado.</w:t>
      </w:r>
    </w:p>
    <w:p>
      <w:pPr>
        <w:pStyle w:val="ListBullet"/>
        <w:spacing w:after="60"/>
        <w:ind w:left="461" w:hanging="259"/>
      </w:pPr>
      <w:r>
        <w:t>Encerrar somente após deixar claro o encaminhamento ou a resposta fornecida.</w:t>
      </w:r>
    </w:p>
    <w:p>
      <w:pPr>
        <w:pStyle w:val="Heading2"/>
      </w:pPr>
      <w:r>
        <w:t>6.5 O que é Demanda Simples e Padronizada para a Central de Serviços?</w:t>
      </w:r>
    </w:p>
    <w:p>
      <w:r>
        <w:t xml:space="preserve">Considera-se </w:t>
      </w:r>
      <w:r>
        <w:rPr>
          <w:b/>
        </w:rPr>
        <w:t>demanda simples e padronizada</w:t>
      </w:r>
      <w:r>
        <w:t xml:space="preserve"> aquela que possui procedimento conhecido, baixo risco operacional, informações suficientes no chamado e não exige análise técnica aprofundada, alteração estrutural, desenvolvimento, correção de sistema ou decisão de gestão.</w:t>
      </w:r>
    </w:p>
    <w:p>
      <w:pPr>
        <w:pStyle w:val="Heading3"/>
      </w:pPr>
      <w:r>
        <w:t>Exemplos que a Central de Serviços pode atender</w:t>
      </w:r>
    </w:p>
    <w:p>
      <w:pPr>
        <w:pStyle w:val="ListBullet"/>
        <w:spacing w:after="60"/>
        <w:ind w:left="461" w:hanging="259"/>
      </w:pPr>
      <w:r>
        <w:t>Cadastro de usuário em sistema com dados completos e autorização informada.</w:t>
      </w:r>
    </w:p>
    <w:p>
      <w:pPr>
        <w:pStyle w:val="ListBullet"/>
        <w:spacing w:after="60"/>
        <w:ind w:left="461" w:hanging="259"/>
      </w:pPr>
      <w:r>
        <w:t>Reset de senha ou desbloqueio de acesso, conforme regra do serviço.</w:t>
      </w:r>
    </w:p>
    <w:p>
      <w:pPr>
        <w:pStyle w:val="ListBullet"/>
        <w:spacing w:after="60"/>
        <w:ind w:left="461" w:hanging="259"/>
      </w:pPr>
      <w:r>
        <w:t>Atualização simples de dados cadastrais, quando prevista no catálogo.</w:t>
      </w:r>
    </w:p>
    <w:p>
      <w:pPr>
        <w:pStyle w:val="ListBullet"/>
        <w:spacing w:after="60"/>
        <w:ind w:left="461" w:hanging="259"/>
      </w:pPr>
      <w:r>
        <w:t>Orientação de uso baseada em manual, POP ou script já validado.</w:t>
      </w:r>
    </w:p>
    <w:p>
      <w:pPr>
        <w:pStyle w:val="ListBullet"/>
        <w:spacing w:after="60"/>
        <w:ind w:left="461" w:hanging="259"/>
      </w:pPr>
      <w:r>
        <w:t>Triagem e correção de informação incompleta antes do encaminhamento.</w:t>
      </w:r>
    </w:p>
    <w:p>
      <w:pPr>
        <w:pStyle w:val="Heading3"/>
      </w:pPr>
      <w:r>
        <w:t>Quando não é da Central de Serviços</w:t>
      </w:r>
    </w:p>
    <w:p>
      <w:pPr>
        <w:pStyle w:val="ListBullet"/>
        <w:spacing w:after="60"/>
        <w:ind w:left="461" w:hanging="259"/>
      </w:pPr>
      <w:r>
        <w:t>Erro sem causa conhecida ou que exige análise em banco, servidor ou código.</w:t>
      </w:r>
    </w:p>
    <w:p>
      <w:pPr>
        <w:pStyle w:val="ListBullet"/>
        <w:spacing w:after="60"/>
        <w:ind w:left="461" w:hanging="259"/>
      </w:pPr>
      <w:r>
        <w:t>Solicitação sem autorização obrigatória ou com conflito de regra de negócio.</w:t>
      </w:r>
    </w:p>
    <w:p>
      <w:pPr>
        <w:pStyle w:val="ListBullet"/>
        <w:spacing w:after="60"/>
        <w:ind w:left="461" w:hanging="259"/>
      </w:pPr>
      <w:r>
        <w:t>Incidente que afeta vários usuários, unidade inteira ou serviço crítico.</w:t>
      </w:r>
    </w:p>
    <w:p>
      <w:pPr>
        <w:pStyle w:val="ListBullet"/>
        <w:spacing w:after="60"/>
        <w:ind w:left="461" w:hanging="259"/>
      </w:pPr>
      <w:r>
        <w:t>Criação de nova funcionalidade, relatório, integração ou mudança de fluxo.</w:t>
      </w:r>
    </w:p>
    <w:p>
      <w:pPr>
        <w:pStyle w:val="ListBullet"/>
        <w:spacing w:after="60"/>
        <w:ind w:left="461" w:hanging="259"/>
      </w:pPr>
      <w:r>
        <w:t>Manutenção física, visita técnica ou intervenção especializada.</w:t>
      </w:r>
    </w:p>
    <w:p>
      <w:pPr>
        <w:spacing w:after="80"/>
      </w:pPr>
      <w:r>
        <w:rPr>
          <w:color w:val="163A63"/>
        </w:rPr>
        <w:t>Critério prático: se o atendente consegue resolver seguindo um procedimento já documentado, com dados completos e sem precisar investigar causa técnica, a demanda tende a ser da Central de Serviços. Se precisar analisar, decidir, corrigir estrutura ou envolver especialista, deve ser escalonada.</w:t>
      </w:r>
    </w:p>
    <w:p>
      <w:pPr>
        <w:pStyle w:val="Heading2"/>
      </w:pPr>
      <w:r>
        <w:t>6.6 Um Chamado ou Vários Chamados?</w:t>
      </w:r>
    </w:p>
    <w:p>
      <w:pPr>
        <w:pStyle w:val="Heading3"/>
      </w:pPr>
      <w:r>
        <w:t>Um chamado</w:t>
      </w:r>
    </w:p>
    <w:p>
      <w:pPr>
        <w:pStyle w:val="ListBullet"/>
        <w:spacing w:after="60"/>
        <w:ind w:left="461" w:hanging="259"/>
      </w:pPr>
      <w:r>
        <w:t>Uma chefia solicita cadastro de 12 profissionais no mesmo sistema, para a mesma unidade e com o mesmo perfil de acesso.</w:t>
      </w:r>
    </w:p>
    <w:p>
      <w:pPr>
        <w:pStyle w:val="ListBullet"/>
        <w:spacing w:after="60"/>
        <w:ind w:left="461" w:hanging="259"/>
      </w:pPr>
      <w:r>
        <w:t>Um setor solicita reset de senha para 5 usuários do mesmo sistema, todos listados no chamado.</w:t>
      </w:r>
    </w:p>
    <w:p>
      <w:pPr>
        <w:pStyle w:val="ListBullet"/>
        <w:spacing w:after="60"/>
        <w:ind w:left="461" w:hanging="259"/>
      </w:pPr>
      <w:r>
        <w:t>Uma unidade pede liberação do mesmo módulo para uma equipe específica, com autorização única da chefia.</w:t>
      </w:r>
    </w:p>
    <w:p>
      <w:pPr>
        <w:pStyle w:val="Heading3"/>
      </w:pPr>
      <w:r>
        <w:t>Chamados separados</w:t>
      </w:r>
    </w:p>
    <w:p>
      <w:pPr>
        <w:pStyle w:val="ListBullet"/>
        <w:spacing w:after="60"/>
        <w:ind w:left="461" w:hanging="259"/>
      </w:pPr>
      <w:r>
        <w:t>O solicitante pede cadastro de profissionais em sistemas diferentes, como SEI, CNES e PEC.</w:t>
      </w:r>
    </w:p>
    <w:p>
      <w:pPr>
        <w:pStyle w:val="ListBullet"/>
        <w:spacing w:after="60"/>
        <w:ind w:left="461" w:hanging="259"/>
      </w:pPr>
      <w:r>
        <w:t>A lista mistura unidades diferentes, perfis de acesso diferentes ou autorizações distintas.</w:t>
      </w:r>
    </w:p>
    <w:p>
      <w:pPr>
        <w:pStyle w:val="ListBullet"/>
        <w:spacing w:after="60"/>
        <w:ind w:left="461" w:hanging="259"/>
      </w:pPr>
      <w:r>
        <w:t>Parte da demanda é cadastro, outra parte é correção de erro, desbloqueio ou alteração de perfil.</w:t>
      </w:r>
    </w:p>
    <w:p>
      <w:pPr>
        <w:pStyle w:val="ListBullet"/>
        <w:spacing w:after="60"/>
        <w:ind w:left="461" w:hanging="259"/>
      </w:pPr>
      <w:r>
        <w:t>Cada profissional apresenta um problema específico que exige análise individual.</w:t>
      </w:r>
    </w:p>
    <w:p>
      <w:pPr>
        <w:pStyle w:val="Heading1"/>
      </w:pPr>
      <w:r>
        <w:t>Processo 3 - Categorização do Chamado e Templates</w:t>
      </w:r>
    </w:p>
    <w:p>
      <w:r>
        <w:t xml:space="preserve">O GLPI foi configurado com </w:t>
      </w:r>
      <w:r>
        <w:rPr>
          <w:b/>
        </w:rPr>
        <w:t>templates específicos para cada serviço</w:t>
      </w:r>
      <w:r>
        <w:t xml:space="preserve">, que são carregados automaticamente no momento em que o usuário realiza a </w:t>
      </w:r>
      <w:r>
        <w:rPr>
          <w:b/>
        </w:rPr>
        <w:t>categorização do chamado</w:t>
      </w:r>
      <w:r>
        <w:t>. Cada tipo de serviço possui um template próprio, adequado às suas particularidades e necessidades de atendimento.</w:t>
      </w:r>
    </w:p>
    <w:p>
      <w:r>
        <w:t xml:space="preserve">Embora os templates sejam diferentes conforme o serviço selecionado, </w:t>
      </w:r>
      <w:r>
        <w:rPr>
          <w:b/>
        </w:rPr>
        <w:t>todos possuem campos obrigatórios em comum</w:t>
      </w:r>
      <w:r>
        <w:t>:</w:t>
      </w:r>
    </w:p>
    <w:p>
      <w:pPr>
        <w:pStyle w:val="ListBullet"/>
        <w:spacing w:after="80"/>
      </w:pPr>
      <w:r>
        <w:t>👤 Nome — identificação do solicitante</w:t>
      </w:r>
    </w:p>
    <w:p>
      <w:pPr>
        <w:pStyle w:val="ListBullet"/>
        <w:spacing w:after="80"/>
      </w:pPr>
      <w:r>
        <w:t>📞 Telefone — contato para comunicação durante o atendimento</w:t>
      </w:r>
    </w:p>
    <w:p>
      <w:pPr>
        <w:pStyle w:val="ListBullet"/>
        <w:spacing w:after="80"/>
      </w:pPr>
      <w:r>
        <w:t>📧 E-mail — essencial para o envio das notificações automáticas</w:t>
      </w:r>
    </w:p>
    <w:p>
      <w:pPr>
        <w:pStyle w:val="ListBullet"/>
        <w:spacing w:after="60"/>
        <w:ind w:left="461" w:hanging="259"/>
      </w:pPr>
      <w:r>
        <w:t xml:space="preserve">Ao selecionar o serviço </w:t>
      </w:r>
      <w:r>
        <w:rPr>
          <w:b/>
        </w:rPr>
        <w:t>"SEI"</w:t>
      </w:r>
      <w:r>
        <w:t xml:space="preserve">, o GLPI carrega um template específico com campos técnicos adicionais. Apesar das diferenças, os campos </w:t>
      </w:r>
      <w:r>
        <w:rPr>
          <w:b/>
        </w:rPr>
        <w:t>Nome, Telefone e E-mail</w:t>
      </w:r>
      <w:r>
        <w:t xml:space="preserve"> estarão sempre presentes e são de preenchimento obrigatório.</w:t>
      </w:r>
    </w:p>
    <w:p>
      <w:pPr>
        <w:spacing w:after="80"/>
      </w:pPr>
      <w:r>
        <w:rPr>
          <w:color w:val="163A63"/>
        </w:rPr>
        <w:t>📌 Atenção: O correto preenchimento desses campos é essencial para garantir a identificação do solicitante, a comunicação durante o atendimento e o adequado encaminhamento do chamado.</w:t>
      </w:r>
    </w:p>
    <w:p>
      <w:pPr>
        <w:pStyle w:val="Heading1"/>
      </w:pPr>
      <w:r>
        <w:t>Processo 4 - Papéis, Níveis e Escalonamento</w:t>
      </w:r>
    </w:p>
    <w:p>
      <w:r>
        <w:t xml:space="preserve">Os papéis e responsabilidades das equipes estão alinhados ao </w:t>
      </w:r>
      <w:r>
        <w:rPr>
          <w:b/>
        </w:rPr>
        <w:t>Catálogo de Serviços</w:t>
      </w:r>
      <w:r>
        <w:t xml:space="preserve"> e às boas práticas de </w:t>
      </w:r>
      <w:r>
        <w:rPr>
          <w:b/>
        </w:rPr>
        <w:t>governança ITIL</w:t>
      </w:r>
      <w:r>
        <w:t>, garantindo clareza na atuação de cada nível de atendimento e adequada gestão das demandas.</w:t>
      </w:r>
    </w:p>
    <w:p>
      <w:pPr>
        <w:pStyle w:val="ListBullet"/>
        <w:spacing w:after="60"/>
        <w:ind w:left="461" w:hanging="259"/>
      </w:pPr>
      <w:r>
        <w:t>Realizar o atendimento inicial ao usuário, conferindo dados obrigatórios e contexto da solicitação</w:t>
      </w:r>
    </w:p>
    <w:p>
      <w:pPr>
        <w:pStyle w:val="ListBullet"/>
        <w:spacing w:after="60"/>
        <w:ind w:left="461" w:hanging="259"/>
      </w:pPr>
      <w:r>
        <w:t>Registrar corretamente as informações no GLPI, incluindo sistema, unidade, contato, evidências e autorização quando aplicável</w:t>
      </w:r>
    </w:p>
    <w:p>
      <w:pPr>
        <w:pStyle w:val="ListBullet"/>
        <w:spacing w:after="60"/>
        <w:ind w:left="461" w:hanging="259"/>
      </w:pPr>
      <w:r>
        <w:t>Resolver e encerrar demandas simples e padronizadas, conforme catálogo, POP, manual ou script oficial</w:t>
      </w:r>
    </w:p>
    <w:p>
      <w:pPr>
        <w:pStyle w:val="ListBullet"/>
        <w:spacing w:after="60"/>
        <w:ind w:left="461" w:hanging="259"/>
      </w:pPr>
      <w:r>
        <w:t>Orientar o usuário quando houver procedimento documentado e registrar a orientação no histórico</w:t>
      </w:r>
    </w:p>
    <w:p>
      <w:pPr>
        <w:pStyle w:val="ListBullet"/>
        <w:spacing w:after="60"/>
        <w:ind w:left="461" w:hanging="259"/>
      </w:pPr>
      <w:r>
        <w:t>Escalonar o chamado quando ultrapassar seu escopo de atuação, descrevendo o motivo do encaminhamento e as verificações já realizadas</w:t>
      </w:r>
    </w:p>
    <w:p>
      <w:pPr>
        <w:spacing w:after="80"/>
      </w:pPr>
      <w:r>
        <w:rPr>
          <w:color w:val="163A63"/>
        </w:rPr>
        <w:t>Resumo da Central de Serviços: atende o que é repetível, documentado e de baixo risco. Não deve assumir demandas que dependam de investigação técnica, alteração estrutural, regra de negócio não validada ou autorização ausente.</w:t>
      </w:r>
    </w:p>
    <w:p>
      <w:pPr>
        <w:pStyle w:val="ListBullet"/>
        <w:spacing w:after="60"/>
        <w:ind w:left="461" w:hanging="259"/>
      </w:pPr>
      <w:r>
        <w:t>Atender demandas técnicas de sistemas escalonadas pela Central de Serviços que exigem atendimento presencial na unidade</w:t>
      </w:r>
    </w:p>
    <w:p>
      <w:pPr>
        <w:pStyle w:val="ListBullet"/>
        <w:spacing w:after="60"/>
        <w:ind w:left="461" w:hanging="259"/>
      </w:pPr>
      <w:r>
        <w:t>Realizar implantação, configuração e ajustes de sistemas em campo</w:t>
      </w:r>
    </w:p>
    <w:p>
      <w:pPr>
        <w:pStyle w:val="ListBullet"/>
        <w:spacing w:after="60"/>
        <w:ind w:left="461" w:hanging="259"/>
      </w:pPr>
      <w:r>
        <w:t>Realizar análises mais aprofundadas de erros e falhas de sistema</w:t>
      </w:r>
    </w:p>
    <w:p>
      <w:pPr>
        <w:pStyle w:val="ListBullet"/>
        <w:spacing w:after="60"/>
        <w:ind w:left="461" w:hanging="259"/>
      </w:pPr>
      <w:r>
        <w:t>Apoiar tecnicamente a Central de Serviços</w:t>
      </w:r>
    </w:p>
    <w:p>
      <w:pPr>
        <w:pStyle w:val="ListBullet"/>
        <w:spacing w:after="60"/>
        <w:ind w:left="461" w:hanging="259"/>
      </w:pPr>
      <w:r>
        <w:t>Registrar detalhadamente as ações executadas no chamado</w:t>
      </w:r>
    </w:p>
    <w:p>
      <w:pPr>
        <w:pStyle w:val="ListBullet"/>
        <w:spacing w:after="60"/>
        <w:ind w:left="461" w:hanging="259"/>
      </w:pPr>
      <w:r>
        <w:t>Atender demandas de equipamento, rede e infraestrutura escalonadas pela Central de Serviços que exigem visita técnica</w:t>
      </w:r>
    </w:p>
    <w:p>
      <w:pPr>
        <w:pStyle w:val="ListBullet"/>
        <w:spacing w:after="60"/>
        <w:ind w:left="461" w:hanging="259"/>
      </w:pPr>
      <w:r>
        <w:t>Realizar manutenção, substituição ou configuração de ativos de TI (computadores, impressoras, pontos de rede, entre outros)</w:t>
      </w:r>
    </w:p>
    <w:p>
      <w:pPr>
        <w:pStyle w:val="ListBullet"/>
        <w:spacing w:after="60"/>
        <w:ind w:left="461" w:hanging="259"/>
      </w:pPr>
      <w:r>
        <w:t>Diagnosticar problemas físicos de hardware e conectividade</w:t>
      </w:r>
    </w:p>
    <w:p>
      <w:pPr>
        <w:pStyle w:val="ListBullet"/>
        <w:spacing w:after="60"/>
        <w:ind w:left="461" w:hanging="259"/>
      </w:pPr>
      <w:r>
        <w:t>Registrar detalhadamente as ações executadas no chamado</w:t>
      </w:r>
    </w:p>
    <w:p>
      <w:pPr>
        <w:pStyle w:val="ListBullet"/>
        <w:spacing w:after="60"/>
        <w:ind w:left="461" w:hanging="259"/>
      </w:pPr>
      <w:r>
        <w:t>Atender demandas técnicas de sistemas escalonadas pela Central de Serviços que podem ser resolvidas remotamente, sem necessidade de deslocamento</w:t>
      </w:r>
    </w:p>
    <w:p>
      <w:pPr>
        <w:pStyle w:val="ListBullet"/>
        <w:spacing w:after="60"/>
        <w:ind w:left="461" w:hanging="259"/>
      </w:pPr>
      <w:r>
        <w:t>Realizar análises mais aprofundadas e apoiar tecnicamente a Central de Serviços</w:t>
      </w:r>
    </w:p>
    <w:p>
      <w:pPr>
        <w:pStyle w:val="ListBullet"/>
        <w:spacing w:after="60"/>
        <w:ind w:left="461" w:hanging="259"/>
      </w:pPr>
      <w:r>
        <w:t>Validar informações, coordenar encaminhamentos e apoiar outros níveis quando necessário</w:t>
      </w:r>
    </w:p>
    <w:p>
      <w:pPr>
        <w:pStyle w:val="ListBullet"/>
        <w:spacing w:after="60"/>
        <w:ind w:left="461" w:hanging="259"/>
      </w:pPr>
      <w:r>
        <w:t>Registrar detalhadamente as ações executadas no chamado</w:t>
      </w:r>
    </w:p>
    <w:p>
      <w:pPr>
        <w:pStyle w:val="ListBullet"/>
        <w:spacing w:after="60"/>
        <w:ind w:left="461" w:hanging="259"/>
      </w:pPr>
      <w:r>
        <w:t>Atuar em demandas especializadas e críticas</w:t>
      </w:r>
    </w:p>
    <w:p>
      <w:pPr>
        <w:pStyle w:val="ListBullet"/>
        <w:spacing w:after="60"/>
        <w:ind w:left="461" w:hanging="259"/>
      </w:pPr>
      <w:r>
        <w:t>Executar correções estruturais</w:t>
      </w:r>
    </w:p>
    <w:p>
      <w:pPr>
        <w:pStyle w:val="ListBullet"/>
        <w:spacing w:after="60"/>
        <w:ind w:left="461" w:hanging="259"/>
      </w:pPr>
      <w:r>
        <w:t>Realizar análises de causa raiz</w:t>
      </w:r>
    </w:p>
    <w:p>
      <w:pPr>
        <w:pStyle w:val="ListBullet"/>
        <w:spacing w:after="60"/>
        <w:ind w:left="461" w:hanging="259"/>
      </w:pPr>
      <w:r>
        <w:t>Apoiar tecnicamente os demais níveis quando necessário</w:t>
      </w:r>
    </w:p>
    <w:p>
      <w:pPr>
        <w:pStyle w:val="Heading1"/>
      </w:pPr>
      <w:r>
        <w:t>Histórico de Revisão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100"/>
        <w:gridCol w:w="4130"/>
        <w:gridCol w:w="4130"/>
      </w:tblGrid>
      <w:tr>
        <w:trPr>
          <w:tblHeader w:val="true"/>
        </w:trPr>
        <w:tc>
          <w:tcPr>
            <w:tcW w:type="dxa" w:w="11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8"/>
              </w:rPr>
              <w:t>Versão</w:t>
            </w:r>
          </w:p>
        </w:tc>
        <w:tc>
          <w:tcPr>
            <w:tcW w:type="dxa" w:w="413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8"/>
              </w:rPr>
              <w:t>Última Atualização</w:t>
            </w:r>
          </w:p>
        </w:tc>
        <w:tc>
          <w:tcPr>
            <w:tcW w:type="dxa" w:w="413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8"/>
              </w:rPr>
              <w:t>Autor</w:t>
            </w:r>
          </w:p>
        </w:tc>
      </w:tr>
      <w:tr>
        <w:tc>
          <w:tcPr>
            <w:tcW w:type="dxa" w:w="11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1.1</w:t>
            </w:r>
          </w:p>
        </w:tc>
        <w:tc>
          <w:tcPr>
            <w:tcW w:type="dxa" w:w="413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2026</w:t>
            </w:r>
          </w:p>
        </w:tc>
        <w:tc>
          <w:tcPr>
            <w:tcW w:type="dxa" w:w="413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GTIC</w:t>
            </w:r>
          </w:p>
        </w:tc>
      </w:tr>
    </w:tbl>
    <w:p>
      <w:pPr>
        <w:spacing w:after="40"/>
      </w:pPr>
    </w:p>
    <w:sectPr w:rsidR="00FC693F" w:rsidRPr="0006063C" w:rsidSect="00034616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080" w:right="1123" w:bottom="1080" w:left="1123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/>
        <w:color w:val="5E6B78"/>
        <w:sz w:val="17"/>
      </w:rPr>
      <w:t xml:space="preserve">Secretaria de Saúde do Recife  |  </w:t>
    </w:r>
    <w:r>
      <w:rPr>
        <w:rFonts w:ascii="Arial" w:hAnsi="Arial"/>
        <w:color w:val="5E6B78"/>
        <w:sz w:val="18"/>
      </w:rPr>
      <w:t xml:space="preserve">Página </w:t>
    </w:r>
    <w:fldSimple w:instr="PAGE"/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Arial" w:hAnsi="Arial"/>
        <w:b/>
        <w:color w:val="5E6B78"/>
        <w:sz w:val="17"/>
      </w:rPr>
      <w:t>SAÚDE DIGITAL ATENDE  |  PROCESSO OPERACIONAL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6" w:lineRule="auto"/>
    </w:pPr>
    <w:rPr>
      <w:rFonts w:ascii="Arial" w:hAnsi="Arial"/>
      <w:color w:val="243447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20"/>
      <w:outlineLvl w:val="0"/>
    </w:pPr>
    <w:rPr>
      <w:rFonts w:asciiTheme="majorHAnsi" w:eastAsiaTheme="majorEastAsia" w:hAnsiTheme="majorHAnsi" w:cstheme="majorBidi" w:ascii="Arial" w:hAnsi="Arial"/>
      <w:b/>
      <w:bCs/>
      <w:color w:val="163A63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Arial" w:hAnsi="Arial"/>
      <w:b/>
      <w:bCs/>
      <w:color w:val="245C9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60"/>
      <w:outlineLvl w:val="2"/>
    </w:pPr>
    <w:rPr>
      <w:rFonts w:asciiTheme="majorHAnsi" w:eastAsiaTheme="majorEastAsia" w:hAnsiTheme="majorHAnsi" w:cstheme="majorBidi" w:ascii="Arial" w:hAnsi="Arial"/>
      <w:b/>
      <w:bCs/>
      <w:color w:val="163A63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eader" Target="header2.xml"/><Relationship Id="rId1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Processo Operacional – Gestão da Abertura e Triagem de Chamados</dc:title>
  <dc:subject>Processo Operacional</dc:subject>
  <dc:creator>Saúde Digital Atende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